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5" w:rsidRPr="00581DB5" w:rsidRDefault="00581DB5" w:rsidP="00581DB5">
      <w:pPr>
        <w:jc w:val="right"/>
      </w:pPr>
      <w:r>
        <w:t xml:space="preserve">                                                                                    </w:t>
      </w:r>
      <w:r w:rsidRPr="00581DB5">
        <w:t>Kinnitatud direktori 30.09.2016</w:t>
      </w:r>
    </w:p>
    <w:p w:rsidR="0037386A" w:rsidRDefault="00581DB5" w:rsidP="00581DB5">
      <w:pPr>
        <w:suppressAutoHyphens w:val="0"/>
        <w:jc w:val="right"/>
      </w:pPr>
      <w:r w:rsidRPr="00581DB5">
        <w:t>käskkirjaga nr 6.2-1/107</w:t>
      </w:r>
    </w:p>
    <w:p w:rsidR="00871CA2" w:rsidRDefault="004E3E80">
      <w:pPr>
        <w:pStyle w:val="Pealkiri1"/>
      </w:pPr>
      <w:r>
        <w:t>ESF VAHENDITEST RAHASTATAVA TÄISKASVANUTE TÄIENDUSKOOLITUSE ÕPPEKAVA</w:t>
      </w:r>
    </w:p>
    <w:p w:rsidR="00871CA2" w:rsidRPr="00581DB5" w:rsidRDefault="00871CA2">
      <w:pPr>
        <w:rPr>
          <w:rFonts w:ascii="Calibri" w:hAnsi="Calibri"/>
          <w:sz w:val="24"/>
          <w:szCs w:val="24"/>
        </w:rPr>
      </w:pPr>
    </w:p>
    <w:p w:rsidR="00871CA2" w:rsidRPr="00581DB5" w:rsidRDefault="004E3E80">
      <w:pPr>
        <w:pStyle w:val="Pealkiri2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spellStart"/>
      <w:r w:rsidRPr="00581DB5">
        <w:rPr>
          <w:rFonts w:ascii="Calibri" w:hAnsi="Calibri"/>
          <w:sz w:val="24"/>
          <w:szCs w:val="24"/>
        </w:rPr>
        <w:t>Üldandmed</w:t>
      </w:r>
      <w:proofErr w:type="spellEnd"/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4"/>
        <w:gridCol w:w="7082"/>
      </w:tblGrid>
      <w:tr w:rsidR="00871CA2" w:rsidRPr="00581DB5"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81DB5">
              <w:rPr>
                <w:rFonts w:ascii="Calibri" w:hAnsi="Calibri"/>
                <w:sz w:val="24"/>
                <w:szCs w:val="24"/>
              </w:rPr>
              <w:t>Õppeasutus:</w:t>
            </w:r>
          </w:p>
        </w:tc>
        <w:tc>
          <w:tcPr>
            <w:tcW w:w="7081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81DB5">
              <w:rPr>
                <w:rFonts w:ascii="Calibri" w:hAnsi="Calibri"/>
                <w:sz w:val="24"/>
                <w:szCs w:val="24"/>
              </w:rPr>
              <w:t>RÄPINA AIANDUSKOOL</w:t>
            </w:r>
          </w:p>
        </w:tc>
      </w:tr>
      <w:tr w:rsidR="00871CA2" w:rsidRPr="00581DB5"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81DB5">
              <w:rPr>
                <w:rFonts w:ascii="Calibri" w:hAnsi="Calibri"/>
                <w:sz w:val="24"/>
                <w:szCs w:val="24"/>
              </w:rPr>
              <w:t>Õppekava nimetus:</w:t>
            </w:r>
          </w:p>
        </w:tc>
        <w:tc>
          <w:tcPr>
            <w:tcW w:w="7081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81DB5">
              <w:rPr>
                <w:rFonts w:ascii="Calibri" w:hAnsi="Calibri"/>
                <w:sz w:val="24"/>
                <w:szCs w:val="24"/>
              </w:rPr>
              <w:t>Aiakaupade müügi korraldamine</w:t>
            </w:r>
          </w:p>
        </w:tc>
      </w:tr>
      <w:tr w:rsidR="00871CA2" w:rsidRPr="00581DB5"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81DB5">
              <w:rPr>
                <w:rFonts w:ascii="Calibri" w:hAnsi="Calibri"/>
                <w:sz w:val="24"/>
                <w:szCs w:val="24"/>
              </w:rPr>
              <w:t>Õppekavarühm:</w:t>
            </w:r>
          </w:p>
        </w:tc>
        <w:tc>
          <w:tcPr>
            <w:tcW w:w="7081" w:type="dxa"/>
            <w:shd w:val="clear" w:color="auto" w:fill="auto"/>
            <w:tcMar>
              <w:left w:w="108" w:type="dxa"/>
            </w:tcMar>
          </w:tcPr>
          <w:p w:rsidR="00871CA2" w:rsidRPr="00581DB5" w:rsidRDefault="00586005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81DB5">
              <w:rPr>
                <w:rFonts w:ascii="Calibri" w:hAnsi="Calibri"/>
                <w:sz w:val="24"/>
                <w:szCs w:val="24"/>
              </w:rPr>
              <w:t>341 Hulgi ja jaekaubandus</w:t>
            </w:r>
          </w:p>
        </w:tc>
      </w:tr>
      <w:tr w:rsidR="00871CA2" w:rsidRPr="00581DB5"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81DB5">
              <w:rPr>
                <w:rFonts w:ascii="Calibri" w:hAnsi="Calibri"/>
                <w:sz w:val="24"/>
                <w:szCs w:val="24"/>
              </w:rPr>
              <w:t>Õppekeel:</w:t>
            </w:r>
          </w:p>
        </w:tc>
        <w:tc>
          <w:tcPr>
            <w:tcW w:w="7081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81DB5">
              <w:rPr>
                <w:rFonts w:ascii="Calibri" w:hAnsi="Calibri"/>
                <w:sz w:val="24"/>
                <w:szCs w:val="24"/>
              </w:rPr>
              <w:t>Eesti keel</w:t>
            </w:r>
          </w:p>
        </w:tc>
      </w:tr>
    </w:tbl>
    <w:p w:rsidR="00871CA2" w:rsidRPr="00581DB5" w:rsidRDefault="00871CA2">
      <w:pPr>
        <w:rPr>
          <w:rFonts w:ascii="Calibri" w:hAnsi="Calibri"/>
          <w:sz w:val="24"/>
          <w:szCs w:val="24"/>
        </w:rPr>
      </w:pPr>
    </w:p>
    <w:p w:rsidR="00871CA2" w:rsidRPr="00581DB5" w:rsidRDefault="004E3E80">
      <w:pPr>
        <w:pStyle w:val="Pealkiri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1DB5">
        <w:rPr>
          <w:rFonts w:asciiTheme="minorHAnsi" w:hAnsiTheme="minorHAnsi"/>
          <w:sz w:val="22"/>
          <w:szCs w:val="22"/>
        </w:rP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71CA2" w:rsidRPr="00581DB5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B2420C" w:rsidRPr="00581DB5" w:rsidRDefault="004E3E80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 xml:space="preserve">Sihtrühma kirjeldus </w:t>
            </w:r>
          </w:p>
          <w:p w:rsidR="00871CA2" w:rsidRPr="00581DB5" w:rsidRDefault="00B2420C">
            <w:pPr>
              <w:pStyle w:val="Pealkiri3"/>
              <w:keepLines w:val="0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4E3E80"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rialase tasemehariduseta inimesed</w:t>
            </w:r>
          </w:p>
          <w:p w:rsidR="00C45034" w:rsidRPr="00581DB5" w:rsidRDefault="00C45034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Aianduse valdkonna ettevõtjad ja klienditeenindajad</w:t>
            </w:r>
          </w:p>
        </w:tc>
      </w:tr>
      <w:tr w:rsidR="00871CA2" w:rsidRPr="00581DB5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C45034" w:rsidRPr="00581DB5" w:rsidRDefault="004E3E80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 xml:space="preserve">Koolituse alustamise nõuded </w:t>
            </w:r>
          </w:p>
          <w:p w:rsidR="00C45034" w:rsidRPr="00581DB5" w:rsidRDefault="00C45034">
            <w:pPr>
              <w:pStyle w:val="Pealkiri3"/>
              <w:keepLines w:val="0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Alustamise nõudeid ei ole</w:t>
            </w:r>
          </w:p>
        </w:tc>
      </w:tr>
      <w:tr w:rsidR="00871CA2" w:rsidRPr="00581DB5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C45034" w:rsidRPr="00581DB5" w:rsidRDefault="004E3E80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>Rühma optimaalne suurus</w:t>
            </w:r>
          </w:p>
          <w:p w:rsidR="00871CA2" w:rsidRPr="00581DB5" w:rsidRDefault="00C45034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</w:t>
            </w:r>
            <w:r w:rsidR="004E3E80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inimest</w:t>
            </w:r>
          </w:p>
        </w:tc>
      </w:tr>
      <w:tr w:rsidR="00871CA2" w:rsidRPr="00581DB5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>Koolituse õpiväljundid</w:t>
            </w:r>
          </w:p>
          <w:p w:rsidR="00C45034" w:rsidRPr="00581DB5" w:rsidRDefault="00C45034" w:rsidP="00C45034">
            <w:pPr>
              <w:pStyle w:val="Phitekst"/>
              <w:keepNext/>
              <w:numPr>
                <w:ilvl w:val="0"/>
                <w:numId w:val="5"/>
              </w:numPr>
              <w:spacing w:after="0" w:line="240" w:lineRule="auto"/>
              <w:textAlignment w:val="baseline"/>
            </w:pPr>
            <w:r w:rsidRPr="00581DB5">
              <w:rPr>
                <w:rFonts w:eastAsiaTheme="majorEastAsia" w:cstheme="majorBidi"/>
              </w:rPr>
              <w:t xml:space="preserve">korraldab aiakaupade müüki, </w:t>
            </w:r>
          </w:p>
          <w:p w:rsidR="00C45034" w:rsidRPr="00581DB5" w:rsidRDefault="00C45034" w:rsidP="00C45034">
            <w:pPr>
              <w:pStyle w:val="Phitekst"/>
              <w:keepNext/>
              <w:numPr>
                <w:ilvl w:val="0"/>
                <w:numId w:val="5"/>
              </w:numPr>
              <w:spacing w:after="0" w:line="240" w:lineRule="auto"/>
              <w:textAlignment w:val="baseline"/>
            </w:pPr>
            <w:r w:rsidRPr="00581DB5">
              <w:rPr>
                <w:rFonts w:eastAsiaTheme="majorEastAsia" w:cstheme="majorBidi"/>
              </w:rPr>
              <w:t>planeerib müügisaalis kaupade väljapaneku,</w:t>
            </w:r>
          </w:p>
          <w:p w:rsidR="001103D8" w:rsidRPr="00581DB5" w:rsidRDefault="001103D8" w:rsidP="00FE0F26">
            <w:pPr>
              <w:pStyle w:val="Loendilik"/>
              <w:numPr>
                <w:ilvl w:val="0"/>
                <w:numId w:val="5"/>
              </w:numPr>
            </w:pPr>
            <w:r w:rsidRPr="00581DB5">
              <w:t>koostab ja käsitleb kauba saatedokumente ning kaubaaruannet,</w:t>
            </w:r>
          </w:p>
          <w:p w:rsidR="0085134C" w:rsidRPr="00581DB5" w:rsidRDefault="00FE0F26" w:rsidP="0085134C">
            <w:pPr>
              <w:pStyle w:val="Phitekst"/>
              <w:keepNext/>
              <w:numPr>
                <w:ilvl w:val="0"/>
                <w:numId w:val="5"/>
              </w:numPr>
              <w:spacing w:after="0" w:line="240" w:lineRule="auto"/>
              <w:textAlignment w:val="baseline"/>
            </w:pPr>
            <w:r w:rsidRPr="00581DB5">
              <w:rPr>
                <w:rFonts w:eastAsiaTheme="majorEastAsia" w:cstheme="majorBidi"/>
              </w:rPr>
              <w:t xml:space="preserve">suunab ja </w:t>
            </w:r>
            <w:r w:rsidR="00C45034" w:rsidRPr="00581DB5">
              <w:rPr>
                <w:rFonts w:eastAsiaTheme="majorEastAsia" w:cstheme="majorBidi"/>
              </w:rPr>
              <w:t>nõustab oma pädevuse piires kliente</w:t>
            </w:r>
            <w:r w:rsidRPr="00581DB5">
              <w:rPr>
                <w:rFonts w:eastAsiaTheme="majorEastAsia" w:cstheme="majorBidi"/>
              </w:rPr>
              <w:t>.</w:t>
            </w:r>
          </w:p>
        </w:tc>
      </w:tr>
      <w:tr w:rsidR="00871CA2" w:rsidRPr="00581DB5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>Õpiväljundite seos kutsestandardi või tasemeõppe õppekavaga (kompetentside tasemel)</w:t>
            </w:r>
          </w:p>
          <w:p w:rsidR="009F31FE" w:rsidRPr="00581DB5" w:rsidRDefault="009F31FE">
            <w:pPr>
              <w:pStyle w:val="Pealkiri3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Kutsestandard:</w:t>
            </w:r>
          </w:p>
          <w:p w:rsidR="00871CA2" w:rsidRPr="00581DB5" w:rsidRDefault="004E3E80">
            <w:pPr>
              <w:pStyle w:val="Pealkiri3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Aednik, tase 4 kohustuslik kompetents B.2.6 Juhendamine</w:t>
            </w:r>
          </w:p>
          <w:p w:rsidR="00871CA2" w:rsidRPr="00581DB5" w:rsidRDefault="004E3E80">
            <w:pPr>
              <w:pStyle w:val="Pealkiri3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Florist</w:t>
            </w:r>
            <w:proofErr w:type="spellEnd"/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, tase 4 kohustuslik kompetents B. 2.9 Juhtimine ja juhendamine</w:t>
            </w:r>
          </w:p>
          <w:p w:rsidR="009F31FE" w:rsidRPr="00581DB5" w:rsidRDefault="009F31FE">
            <w:pPr>
              <w:pStyle w:val="Pealkiri3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Räpina Aianduskooli õppekava –FLORIST (õppekava kood </w:t>
            </w:r>
            <w:proofErr w:type="spellStart"/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EHIS-es</w:t>
            </w:r>
            <w:proofErr w:type="spellEnd"/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131664), põhimoodul 5 „Müümine ja kliendi nõustamine“</w:t>
            </w:r>
          </w:p>
        </w:tc>
      </w:tr>
      <w:tr w:rsidR="00871CA2" w:rsidRPr="00581DB5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>Põhjendus koolituse sihtrühma ja õpiväljundite valiku osas:</w:t>
            </w:r>
          </w:p>
          <w:p w:rsidR="00432FE2" w:rsidRPr="00581DB5" w:rsidRDefault="00432FE2" w:rsidP="00432FE2">
            <w:pPr>
              <w:rPr>
                <w:rFonts w:eastAsiaTheme="majorEastAsia" w:cstheme="majorBidi"/>
              </w:rPr>
            </w:pPr>
            <w:r w:rsidRPr="00581DB5">
              <w:rPr>
                <w:rFonts w:eastAsiaTheme="majorEastAsia" w:cstheme="majorBidi"/>
              </w:rPr>
              <w:t xml:space="preserve">Praktika on näidanud, et üha enam vajatakse müügitöö korraldamise oskust nii aednikelt kui </w:t>
            </w:r>
            <w:proofErr w:type="spellStart"/>
            <w:r w:rsidRPr="00581DB5">
              <w:rPr>
                <w:rFonts w:eastAsiaTheme="majorEastAsia" w:cstheme="majorBidi"/>
              </w:rPr>
              <w:t>floristidelt</w:t>
            </w:r>
            <w:proofErr w:type="spellEnd"/>
            <w:r w:rsidRPr="00581DB5">
              <w:rPr>
                <w:rFonts w:eastAsiaTheme="majorEastAsia" w:cstheme="majorBidi"/>
              </w:rPr>
              <w:t xml:space="preserve">, sest töö iseloomu tõttu müüakse paljusid erinevaid tooteid ja kaupu ning suheldakse pidevalt klientidega. </w:t>
            </w:r>
            <w:r w:rsidR="00655022" w:rsidRPr="00581DB5">
              <w:rPr>
                <w:rFonts w:eastAsiaTheme="majorEastAsia" w:cstheme="majorBidi"/>
              </w:rPr>
              <w:t xml:space="preserve">Tagasisidestusest klienditeenindajatega on ilmnenud ka tõsiasi, et ei tunta müügitööd reguleerivaid seadusandlike akte või tööseadusandlusega seonduvat. </w:t>
            </w:r>
            <w:r w:rsidRPr="00581DB5">
              <w:rPr>
                <w:rFonts w:eastAsiaTheme="majorEastAsia" w:cstheme="majorBidi"/>
              </w:rPr>
              <w:t>Tihti toimub müügitöö iseõppimise teel</w:t>
            </w:r>
            <w:r w:rsidR="00655022" w:rsidRPr="00581DB5">
              <w:rPr>
                <w:rFonts w:eastAsiaTheme="majorEastAsia" w:cstheme="majorBidi"/>
              </w:rPr>
              <w:t xml:space="preserve"> ja see</w:t>
            </w:r>
            <w:r w:rsidRPr="00581DB5">
              <w:rPr>
                <w:rFonts w:eastAsiaTheme="majorEastAsia" w:cstheme="majorBidi"/>
              </w:rPr>
              <w:t xml:space="preserve"> võib pidurdada töö efektiivsust ja korrektsust. </w:t>
            </w:r>
          </w:p>
          <w:p w:rsidR="00432FE2" w:rsidRPr="00581DB5" w:rsidRDefault="00432FE2" w:rsidP="00432FE2">
            <w:r w:rsidRPr="00581DB5">
              <w:rPr>
                <w:rFonts w:eastAsiaTheme="majorEastAsia" w:cstheme="majorBidi"/>
              </w:rPr>
              <w:t>Väljaõpet tingib väikeettevõtluse spetsiifika, eduka</w:t>
            </w:r>
            <w:r w:rsidR="00476CDE" w:rsidRPr="00581DB5">
              <w:rPr>
                <w:rFonts w:eastAsiaTheme="majorEastAsia" w:cstheme="majorBidi"/>
              </w:rPr>
              <w:t>ma</w:t>
            </w:r>
            <w:r w:rsidRPr="00581DB5">
              <w:rPr>
                <w:rFonts w:eastAsiaTheme="majorEastAsia" w:cstheme="majorBidi"/>
              </w:rPr>
              <w:t xml:space="preserve"> müügi</w:t>
            </w:r>
            <w:r w:rsidR="00476CDE" w:rsidRPr="00581DB5">
              <w:rPr>
                <w:rFonts w:eastAsiaTheme="majorEastAsia" w:cstheme="majorBidi"/>
              </w:rPr>
              <w:t>töö saavutamine</w:t>
            </w:r>
            <w:r w:rsidRPr="00581DB5">
              <w:rPr>
                <w:rFonts w:eastAsiaTheme="majorEastAsia" w:cstheme="majorBidi"/>
              </w:rPr>
              <w:t xml:space="preserve"> või soov laiendada väikeettevõtluse tegevusala.</w:t>
            </w:r>
            <w:r w:rsidR="00655022" w:rsidRPr="00581DB5">
              <w:rPr>
                <w:rFonts w:eastAsiaTheme="majorEastAsia" w:cstheme="majorBidi"/>
              </w:rPr>
              <w:t xml:space="preserve"> </w:t>
            </w:r>
          </w:p>
          <w:p w:rsidR="00432FE2" w:rsidRPr="00581DB5" w:rsidRDefault="00432FE2" w:rsidP="00432FE2">
            <w:pPr>
              <w:pStyle w:val="Pealkiri3"/>
              <w:keepLines w:val="0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Koolitus pakub võimalust planeerida oma ettevõtte müügitööd läbi praktiliste tegevuste</w:t>
            </w:r>
            <w:r w:rsidR="0037386A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871CA2" w:rsidRPr="00581DB5" w:rsidRDefault="00871CA2">
            <w:pPr>
              <w:spacing w:after="0"/>
            </w:pPr>
          </w:p>
        </w:tc>
      </w:tr>
    </w:tbl>
    <w:p w:rsidR="0085134C" w:rsidRPr="00581DB5" w:rsidRDefault="0085134C">
      <w:pPr>
        <w:pStyle w:val="Pealkiri2"/>
        <w:rPr>
          <w:rFonts w:asciiTheme="minorHAnsi" w:eastAsiaTheme="minorHAnsi" w:hAnsiTheme="minorHAnsi" w:cstheme="minorBidi"/>
          <w:color w:val="00000A"/>
          <w:sz w:val="22"/>
          <w:szCs w:val="22"/>
        </w:rPr>
      </w:pPr>
    </w:p>
    <w:p w:rsidR="00817245" w:rsidRPr="00581DB5" w:rsidRDefault="00817245" w:rsidP="00817245">
      <w:pPr>
        <w:pStyle w:val="Pealkiri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1DB5">
        <w:rPr>
          <w:rFonts w:asciiTheme="minorHAnsi" w:hAnsiTheme="minorHAnsi"/>
          <w:sz w:val="22"/>
          <w:szCs w:val="22"/>
        </w:rP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6"/>
        <w:gridCol w:w="2267"/>
      </w:tblGrid>
      <w:tr w:rsidR="00817245" w:rsidRPr="00581DB5" w:rsidTr="00817245">
        <w:tc>
          <w:tcPr>
            <w:tcW w:w="7226" w:type="dxa"/>
            <w:shd w:val="clear" w:color="auto" w:fill="auto"/>
            <w:tcMar>
              <w:left w:w="108" w:type="dxa"/>
            </w:tcMar>
          </w:tcPr>
          <w:p w:rsidR="00817245" w:rsidRPr="00581DB5" w:rsidRDefault="00817245" w:rsidP="00B01E58">
            <w:pPr>
              <w:spacing w:after="0"/>
            </w:pPr>
            <w:r w:rsidRPr="00581DB5">
              <w:t>Koolituse kogumaht akadeemilistes tundides: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817245" w:rsidRPr="00581DB5" w:rsidRDefault="0037386A" w:rsidP="00B01E58">
            <w:pPr>
              <w:spacing w:after="0"/>
              <w:jc w:val="center"/>
            </w:pPr>
            <w:r w:rsidRPr="00581DB5">
              <w:rPr>
                <w:rFonts w:eastAsiaTheme="majorEastAsia" w:cstheme="majorBidi"/>
              </w:rPr>
              <w:t>48</w:t>
            </w:r>
          </w:p>
        </w:tc>
      </w:tr>
      <w:tr w:rsidR="00817245" w:rsidRPr="00581DB5" w:rsidTr="00817245">
        <w:tc>
          <w:tcPr>
            <w:tcW w:w="7226" w:type="dxa"/>
            <w:shd w:val="clear" w:color="auto" w:fill="auto"/>
            <w:tcMar>
              <w:left w:w="108" w:type="dxa"/>
            </w:tcMar>
          </w:tcPr>
          <w:p w:rsidR="00817245" w:rsidRPr="00581DB5" w:rsidRDefault="00817245" w:rsidP="00B01E58">
            <w:pPr>
              <w:spacing w:after="0"/>
            </w:pPr>
            <w:r w:rsidRPr="00581DB5">
              <w:lastRenderedPageBreak/>
              <w:tab/>
              <w:t>sh kontaktõppe maht: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817245" w:rsidRPr="00581DB5" w:rsidRDefault="0037386A" w:rsidP="006574EE">
            <w:pPr>
              <w:spacing w:after="0"/>
              <w:jc w:val="center"/>
            </w:pPr>
            <w:r w:rsidRPr="00581DB5">
              <w:rPr>
                <w:rFonts w:eastAsiaTheme="majorEastAsia" w:cstheme="majorBidi"/>
              </w:rPr>
              <w:t>4</w:t>
            </w:r>
            <w:r w:rsidR="006574EE" w:rsidRPr="00581DB5">
              <w:rPr>
                <w:rFonts w:eastAsiaTheme="majorEastAsia" w:cstheme="majorBidi"/>
              </w:rPr>
              <w:t>0</w:t>
            </w:r>
          </w:p>
        </w:tc>
      </w:tr>
      <w:tr w:rsidR="00817245" w:rsidRPr="00581DB5" w:rsidTr="00817245">
        <w:tc>
          <w:tcPr>
            <w:tcW w:w="7226" w:type="dxa"/>
            <w:shd w:val="clear" w:color="auto" w:fill="auto"/>
            <w:tcMar>
              <w:left w:w="108" w:type="dxa"/>
            </w:tcMar>
          </w:tcPr>
          <w:p w:rsidR="00817245" w:rsidRPr="00581DB5" w:rsidRDefault="00817245" w:rsidP="00B01E58">
            <w:pPr>
              <w:spacing w:after="0"/>
            </w:pPr>
            <w:r w:rsidRPr="00581DB5">
              <w:tab/>
            </w:r>
            <w:r w:rsidRPr="00581DB5">
              <w:tab/>
              <w:t>sh auditoorse töö maht: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817245" w:rsidRPr="00581DB5" w:rsidRDefault="0037386A" w:rsidP="00B01E58">
            <w:pPr>
              <w:spacing w:after="0"/>
              <w:jc w:val="center"/>
            </w:pPr>
            <w:r w:rsidRPr="00581DB5">
              <w:rPr>
                <w:rFonts w:eastAsiaTheme="majorEastAsia" w:cstheme="majorBidi"/>
              </w:rPr>
              <w:t>20</w:t>
            </w:r>
          </w:p>
        </w:tc>
      </w:tr>
      <w:tr w:rsidR="00817245" w:rsidRPr="00581DB5" w:rsidTr="00817245">
        <w:tc>
          <w:tcPr>
            <w:tcW w:w="7226" w:type="dxa"/>
            <w:shd w:val="clear" w:color="auto" w:fill="auto"/>
            <w:tcMar>
              <w:left w:w="108" w:type="dxa"/>
            </w:tcMar>
          </w:tcPr>
          <w:p w:rsidR="00817245" w:rsidRPr="00581DB5" w:rsidRDefault="00817245" w:rsidP="00B01E58">
            <w:pPr>
              <w:spacing w:after="0"/>
            </w:pPr>
            <w:r w:rsidRPr="00581DB5">
              <w:tab/>
            </w:r>
            <w:r w:rsidRPr="00581DB5">
              <w:tab/>
              <w:t>sh praktilise töö maht: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817245" w:rsidRPr="00581DB5" w:rsidRDefault="006574EE" w:rsidP="00581805">
            <w:pPr>
              <w:spacing w:after="0"/>
              <w:jc w:val="center"/>
            </w:pPr>
            <w:r w:rsidRPr="00581DB5">
              <w:rPr>
                <w:rFonts w:eastAsiaTheme="majorEastAsia" w:cstheme="majorBidi"/>
              </w:rPr>
              <w:t>20</w:t>
            </w:r>
          </w:p>
        </w:tc>
      </w:tr>
      <w:tr w:rsidR="00817245" w:rsidRPr="00581DB5" w:rsidTr="00817245">
        <w:tc>
          <w:tcPr>
            <w:tcW w:w="7226" w:type="dxa"/>
            <w:shd w:val="clear" w:color="auto" w:fill="auto"/>
            <w:tcMar>
              <w:left w:w="108" w:type="dxa"/>
            </w:tcMar>
          </w:tcPr>
          <w:p w:rsidR="00817245" w:rsidRPr="00581DB5" w:rsidRDefault="00817245" w:rsidP="00B01E58">
            <w:pPr>
              <w:spacing w:after="0"/>
            </w:pPr>
            <w:r w:rsidRPr="00581DB5">
              <w:tab/>
              <w:t>sh koolitaja poolt tagasisidestatava iseseisva töö  maht: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817245" w:rsidRPr="00581DB5" w:rsidRDefault="006574EE" w:rsidP="00B01E58">
            <w:pPr>
              <w:spacing w:after="0"/>
              <w:jc w:val="center"/>
            </w:pPr>
            <w:r w:rsidRPr="00581DB5">
              <w:rPr>
                <w:rFonts w:eastAsiaTheme="majorEastAsia" w:cstheme="majorBidi"/>
              </w:rPr>
              <w:t>8</w:t>
            </w:r>
          </w:p>
        </w:tc>
      </w:tr>
    </w:tbl>
    <w:p w:rsidR="00817245" w:rsidRPr="00581DB5" w:rsidRDefault="00817245" w:rsidP="00817245">
      <w:pPr>
        <w:pStyle w:val="Pealkiri2"/>
        <w:rPr>
          <w:rFonts w:asciiTheme="minorHAnsi" w:hAnsiTheme="minorHAnsi"/>
          <w:sz w:val="22"/>
          <w:szCs w:val="22"/>
        </w:rPr>
      </w:pPr>
    </w:p>
    <w:p w:rsidR="00817245" w:rsidRPr="00581DB5" w:rsidRDefault="00817245" w:rsidP="00817245">
      <w:pPr>
        <w:pStyle w:val="Pealkiri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81DB5">
        <w:rPr>
          <w:rFonts w:asciiTheme="minorHAnsi" w:hAnsiTheme="minorHAnsi"/>
          <w:sz w:val="22"/>
          <w:szCs w:val="22"/>
        </w:rPr>
        <w:t>Koolituse sisu ja õppekeskkonna kirjeldus ning lõpetamise nõuded</w:t>
      </w:r>
    </w:p>
    <w:tbl>
      <w:tblPr>
        <w:tblStyle w:val="Kontuurtabel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817245" w:rsidRPr="00581DB5" w:rsidTr="00581DB5">
        <w:tc>
          <w:tcPr>
            <w:tcW w:w="10060" w:type="dxa"/>
            <w:shd w:val="clear" w:color="auto" w:fill="auto"/>
            <w:tcMar>
              <w:left w:w="108" w:type="dxa"/>
            </w:tcMar>
          </w:tcPr>
          <w:p w:rsidR="00817245" w:rsidRPr="00581DB5" w:rsidRDefault="00817245" w:rsidP="00B01E58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>Õppesisu (teemad, alateemad, sh auditoorne ja praktiline töö) kirjeldus</w:t>
            </w:r>
          </w:p>
          <w:p w:rsidR="00817245" w:rsidRPr="00581DB5" w:rsidRDefault="00817245" w:rsidP="00817245">
            <w:pPr>
              <w:pStyle w:val="Pealkiri3"/>
              <w:outlineLvl w:val="2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Auditoorne õpe </w:t>
            </w:r>
            <w:r w:rsidR="00A6159A" w:rsidRPr="00581DB5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2</w:t>
            </w:r>
            <w:r w:rsidR="006574EE" w:rsidRPr="00581DB5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0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tundi:</w:t>
            </w:r>
          </w:p>
          <w:p w:rsidR="00817245" w:rsidRPr="00581DB5" w:rsidRDefault="000A3BF7" w:rsidP="00817245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aubanduse olemus. Jaekaubanduse korraldamine. Erinevad kaupluste tüübid. </w:t>
            </w:r>
            <w:r w:rsidR="00632873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817245" w:rsidRPr="00581DB5" w:rsidRDefault="000A3BF7" w:rsidP="00817245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aubandusettevõtte põhitegevus sisseost, menetlemine, ladustamine, müük.   </w:t>
            </w:r>
            <w:r w:rsidR="00632873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817245" w:rsidRPr="00581DB5" w:rsidRDefault="000A3BF7" w:rsidP="00817245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aubandusettevõtte ruum.                                                                                                   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574EE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A6159A" w:rsidRPr="00581DB5" w:rsidRDefault="00A6159A" w:rsidP="00817245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kaupade põhiliigid (tööstus- ja toidukaubad, taimed, jne)</w:t>
            </w:r>
            <w:r w:rsidR="00BD0141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632873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817245" w:rsidRPr="00581DB5" w:rsidRDefault="000A3BF7" w:rsidP="00817245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aubanduslik inventar ja sisustus. Kaupluses töökoha korraldus.                             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</w:t>
            </w:r>
            <w:r w:rsidR="00632873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CE393D" w:rsidRPr="00581DB5" w:rsidRDefault="000A3BF7" w:rsidP="00CE393D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aupade paigutuse põhimõtted ja nõuetekohane säilitamine.                                  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CE393D" w:rsidRPr="00581DB5" w:rsidRDefault="00CE393D" w:rsidP="00CE393D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nn. aiakauba mõiste, nomenklatuur, erisus                                                                             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0A3BF7" w:rsidRPr="00581DB5" w:rsidRDefault="000A3BF7" w:rsidP="00817245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müügitööd reguleerivad seadusandlikud aktid</w:t>
            </w:r>
            <w:r w:rsidR="00BD0141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</w:t>
            </w:r>
            <w:r w:rsidR="00571F5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</w:t>
            </w:r>
            <w:r w:rsidR="0037386A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A6159A" w:rsidRPr="00581DB5" w:rsidRDefault="00A6159A" w:rsidP="00817245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tööseadusandlus</w:t>
            </w:r>
            <w:r w:rsidR="00BD0141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CE393D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</w:t>
            </w:r>
            <w:r w:rsidR="0037386A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A6159A" w:rsidRPr="00581DB5" w:rsidRDefault="00A6159A" w:rsidP="00817245">
            <w:pPr>
              <w:pStyle w:val="Pealkiri3"/>
              <w:numPr>
                <w:ilvl w:val="0"/>
                <w:numId w:val="6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kauba tutvustamine ja klientide nõustamine</w:t>
            </w:r>
            <w:r w:rsidR="00BD0141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</w:t>
            </w:r>
            <w:r w:rsidR="006574EE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817245" w:rsidRPr="00581DB5" w:rsidRDefault="000A3BF7" w:rsidP="00817245">
            <w:pPr>
              <w:pStyle w:val="Pealkiri3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17245" w:rsidRPr="00581DB5" w:rsidRDefault="00BD0141" w:rsidP="00817245">
            <w:pPr>
              <w:pStyle w:val="Pealkiri3"/>
              <w:outlineLvl w:val="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Praktiline õpe </w:t>
            </w:r>
            <w:r w:rsidR="0037386A" w:rsidRPr="00581DB5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20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tundi:</w:t>
            </w:r>
          </w:p>
          <w:p w:rsidR="00817245" w:rsidRPr="00581DB5" w:rsidRDefault="00817245" w:rsidP="000A3BF7">
            <w:pPr>
              <w:pStyle w:val="Pealkiri3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  <w:p w:rsidR="000A3BF7" w:rsidRPr="00581DB5" w:rsidRDefault="000A3BF7" w:rsidP="00817245">
            <w:pPr>
              <w:pStyle w:val="Pealkiri3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auba saatedokument. Kauba saatedokumentide rekvisiidid, saatelehe vormistamine. </w:t>
            </w:r>
            <w:r w:rsidR="00632873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0A3BF7" w:rsidRPr="00581DB5" w:rsidRDefault="000A3BF7" w:rsidP="00817245">
            <w:pPr>
              <w:pStyle w:val="Pealkiri3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aupade markeerimine ja turvamine.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2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817245" w:rsidRPr="00581DB5" w:rsidRDefault="000A3BF7" w:rsidP="00817245">
            <w:pPr>
              <w:pStyle w:val="Pealkiri3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aupade müügiks ettevalmistamine, väljapanek</w:t>
            </w:r>
            <w:r w:rsidR="00A6159A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</w:t>
            </w:r>
          </w:p>
          <w:p w:rsidR="00817245" w:rsidRPr="00581DB5" w:rsidRDefault="00A6159A" w:rsidP="00817245">
            <w:pPr>
              <w:pStyle w:val="Pealkiri3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üügiplaan ja müügiaruanne.                                                                                                          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3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0A3BF7" w:rsidRPr="00581DB5" w:rsidRDefault="000A3BF7" w:rsidP="00817245">
            <w:pPr>
              <w:pStyle w:val="Pealkiri3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nventuur.                                                                                                                                             </w:t>
            </w:r>
            <w:r w:rsidR="0037386A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37386A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817245" w:rsidRPr="00581DB5" w:rsidRDefault="000A3BF7" w:rsidP="00817245">
            <w:pPr>
              <w:pStyle w:val="Pealkiri3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ööajagraafik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graafiku koostamine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1724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A6159A" w:rsidRPr="00581DB5" w:rsidRDefault="00A6159A" w:rsidP="00817245">
            <w:pPr>
              <w:pStyle w:val="Pealkiri3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kauba tutvustamine                                                                                                              </w:t>
            </w:r>
            <w:r w:rsidR="00BD0141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</w:t>
            </w:r>
            <w:r w:rsidR="00632873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3 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  <w:p w:rsidR="00BD0141" w:rsidRPr="00581DB5" w:rsidRDefault="00BD0141" w:rsidP="00817245">
            <w:pPr>
              <w:pStyle w:val="Pealkiri3"/>
              <w:numPr>
                <w:ilvl w:val="0"/>
                <w:numId w:val="7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rühmatööd jätkusuutlikuks müügitööks (koostöö võimalused; </w:t>
            </w:r>
            <w:r w:rsidR="0037386A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avatud uks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potentsiaalsele kliendile; </w:t>
            </w:r>
            <w:r w:rsidR="0037386A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tõhusa müügiplaani potentsiaalid 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="00581DB5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2h</w:t>
            </w:r>
            <w:r w:rsidR="0037386A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:rsidR="00817245" w:rsidRPr="00581DB5" w:rsidRDefault="00817245" w:rsidP="00817245">
            <w:pPr>
              <w:pStyle w:val="Pealkiri3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  <w:p w:rsidR="00817245" w:rsidRPr="00581DB5" w:rsidRDefault="00817245" w:rsidP="00817245">
            <w:pPr>
              <w:widowControl w:val="0"/>
              <w:shd w:val="clear" w:color="auto" w:fill="FFFFFF" w:themeFill="background1"/>
              <w:spacing w:after="0"/>
              <w:rPr>
                <w:u w:val="single"/>
              </w:rPr>
            </w:pPr>
            <w:r w:rsidRPr="00581DB5">
              <w:rPr>
                <w:rFonts w:eastAsiaTheme="majorEastAsia" w:cstheme="majorBidi"/>
                <w:u w:val="single"/>
              </w:rPr>
              <w:t>Iseseisev töö 8 tundi:</w:t>
            </w:r>
          </w:p>
          <w:p w:rsidR="00817245" w:rsidRPr="00581DB5" w:rsidRDefault="00817245" w:rsidP="0037386A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 w:themeFill="background1"/>
              <w:spacing w:after="0"/>
            </w:pPr>
            <w:r w:rsidRPr="00581DB5">
              <w:rPr>
                <w:rFonts w:eastAsiaTheme="majorEastAsia" w:cstheme="majorBidi"/>
              </w:rPr>
              <w:t>Kaupluse plaani koostamine  koos sisustuse nimekirja ja  maksumusega, sortimendi määratlemine.</w:t>
            </w:r>
          </w:p>
          <w:p w:rsidR="00817245" w:rsidRPr="00581DB5" w:rsidRDefault="00817245" w:rsidP="0037386A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</w:pPr>
            <w:r w:rsidRPr="00581DB5">
              <w:t>E-õpimapi koostamine esitluseks.</w:t>
            </w:r>
          </w:p>
        </w:tc>
      </w:tr>
    </w:tbl>
    <w:p w:rsidR="00871CA2" w:rsidRPr="00581DB5" w:rsidRDefault="00871CA2"/>
    <w:p w:rsidR="00817245" w:rsidRPr="00581DB5" w:rsidRDefault="00817245" w:rsidP="00476CDE">
      <w:pPr>
        <w:pStyle w:val="Pealkiri2"/>
        <w:rPr>
          <w:rFonts w:asciiTheme="minorHAnsi" w:hAnsiTheme="minorHAnsi"/>
          <w:sz w:val="22"/>
          <w:szCs w:val="22"/>
        </w:rPr>
      </w:pPr>
    </w:p>
    <w:p w:rsidR="00817245" w:rsidRPr="00581DB5" w:rsidRDefault="00817245" w:rsidP="00476CDE">
      <w:pPr>
        <w:pStyle w:val="Pealkiri2"/>
        <w:rPr>
          <w:rFonts w:asciiTheme="minorHAnsi" w:hAnsiTheme="minorHAnsi"/>
          <w:sz w:val="22"/>
          <w:szCs w:val="22"/>
        </w:rPr>
      </w:pPr>
    </w:p>
    <w:p w:rsidR="00871CA2" w:rsidRPr="00581DB5" w:rsidRDefault="00871CA2">
      <w:pPr>
        <w:pStyle w:val="Pealkiri2"/>
        <w:rPr>
          <w:rFonts w:asciiTheme="minorHAnsi" w:hAnsiTheme="minorHAnsi"/>
          <w:sz w:val="22"/>
          <w:szCs w:val="22"/>
        </w:rPr>
      </w:pPr>
    </w:p>
    <w:tbl>
      <w:tblPr>
        <w:tblStyle w:val="Kontuurtabel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71CA2" w:rsidRPr="00581DB5" w:rsidTr="00817245">
        <w:tc>
          <w:tcPr>
            <w:tcW w:w="9776" w:type="dxa"/>
            <w:shd w:val="clear" w:color="auto" w:fill="auto"/>
            <w:tcMar>
              <w:left w:w="108" w:type="dxa"/>
            </w:tcMar>
          </w:tcPr>
          <w:p w:rsidR="0085134C" w:rsidRPr="00581DB5" w:rsidRDefault="004E3E80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>Õ</w:t>
            </w:r>
            <w:r w:rsidR="0085134C" w:rsidRPr="00581DB5">
              <w:rPr>
                <w:rFonts w:asciiTheme="minorHAnsi" w:hAnsiTheme="minorHAnsi"/>
                <w:sz w:val="22"/>
                <w:szCs w:val="22"/>
              </w:rPr>
              <w:t>ppekeskkonna kirjeldus</w:t>
            </w:r>
            <w:r w:rsidRPr="00581D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871CA2" w:rsidRPr="00581DB5" w:rsidRDefault="00983C46">
            <w:pPr>
              <w:pStyle w:val="Pealkiri3"/>
              <w:keepLines w:val="0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Põhiosa õ</w:t>
            </w:r>
            <w:r w:rsidR="0085134C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ppetegevus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est</w:t>
            </w:r>
            <w:r w:rsidR="0085134C"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toimub avaras kaasaegse sisustu</w:t>
            </w: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sega ja 20 õppijakohaga õppe- või arvutiklassis kus on olemas õppetööks kõik vajalik. Õppetegevuse käigus külastatakse kaubandusettevõtet, kus toimub ka aiakaupade müük. </w:t>
            </w:r>
          </w:p>
          <w:p w:rsidR="00983C46" w:rsidRPr="00581DB5" w:rsidRDefault="00983C46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1CA2" w:rsidRPr="00581DB5" w:rsidTr="00817245">
        <w:tc>
          <w:tcPr>
            <w:tcW w:w="9776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 xml:space="preserve">Õppematerjalid ja –vahendid (sh kohustuslikud) </w:t>
            </w:r>
          </w:p>
          <w:p w:rsidR="00871CA2" w:rsidRPr="00581DB5" w:rsidRDefault="004E3E80" w:rsidP="00983C46">
            <w:pPr>
              <w:pStyle w:val="Pealkiri3"/>
              <w:numPr>
                <w:ilvl w:val="0"/>
                <w:numId w:val="8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Kaubandus põhi</w:t>
            </w:r>
            <w:r w:rsidR="00983C46"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mõisted ja seosed </w:t>
            </w:r>
            <w:proofErr w:type="spellStart"/>
            <w:r w:rsidR="00983C46"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A.Siimon</w:t>
            </w:r>
            <w:proofErr w:type="spellEnd"/>
            <w:r w:rsidR="00983C46"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2014 </w:t>
            </w:r>
            <w:hyperlink r:id="rId8">
              <w:r w:rsidRPr="00581DB5">
                <w:rPr>
                  <w:rStyle w:val="Internetilink"/>
                  <w:rFonts w:asciiTheme="minorHAnsi" w:hAnsiTheme="minorHAnsi"/>
                  <w:color w:val="000000"/>
                  <w:sz w:val="22"/>
                  <w:szCs w:val="22"/>
                </w:rPr>
                <w:t>http://www.innove.ee/UserFiles/Kutseharidus/%C3%95ppekava/Kaubandus%20p%C3%B5him%C3%B5isted%20ja%20seosed.pdf</w:t>
              </w:r>
            </w:hyperlink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871CA2" w:rsidRPr="00581DB5" w:rsidRDefault="00983C46" w:rsidP="00983C46">
            <w:pPr>
              <w:pStyle w:val="Pealkiri3"/>
              <w:numPr>
                <w:ilvl w:val="0"/>
                <w:numId w:val="8"/>
              </w:numPr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Töölehed, - juhised jms.</w:t>
            </w:r>
          </w:p>
          <w:p w:rsidR="00983C46" w:rsidRPr="00581DB5" w:rsidRDefault="00983C46" w:rsidP="00983C46">
            <w:pPr>
              <w:pStyle w:val="Pealkiri3"/>
              <w:numPr>
                <w:ilvl w:val="0"/>
                <w:numId w:val="8"/>
              </w:numPr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>Arvutid</w:t>
            </w:r>
          </w:p>
        </w:tc>
      </w:tr>
      <w:tr w:rsidR="00871CA2" w:rsidRPr="00581DB5" w:rsidTr="00817245">
        <w:trPr>
          <w:trHeight w:val="699"/>
        </w:trPr>
        <w:tc>
          <w:tcPr>
            <w:tcW w:w="9776" w:type="dxa"/>
            <w:shd w:val="clear" w:color="auto" w:fill="auto"/>
            <w:tcMar>
              <w:left w:w="108" w:type="dxa"/>
            </w:tcMar>
          </w:tcPr>
          <w:p w:rsidR="00871CA2" w:rsidRPr="00581DB5" w:rsidRDefault="004E3E80">
            <w:pPr>
              <w:pStyle w:val="Pealkiri3"/>
              <w:keepLines w:val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sz w:val="22"/>
                <w:szCs w:val="22"/>
              </w:rPr>
              <w:t>Nõuded koolituse lõpetamiseks, sh hindamismeetodid ja -kriteeriumid</w:t>
            </w:r>
          </w:p>
          <w:p w:rsidR="00983C46" w:rsidRPr="00581DB5" w:rsidRDefault="00A97773" w:rsidP="00A97773">
            <w:pPr>
              <w:pStyle w:val="Pealkiri3"/>
              <w:numPr>
                <w:ilvl w:val="0"/>
                <w:numId w:val="9"/>
              </w:numPr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Osalemine koolitusel vähemalt 80% ulatuses</w:t>
            </w:r>
          </w:p>
          <w:p w:rsidR="00A97773" w:rsidRPr="00581DB5" w:rsidRDefault="00A97773" w:rsidP="00A97773">
            <w:pPr>
              <w:pStyle w:val="Pealkiri3"/>
              <w:numPr>
                <w:ilvl w:val="0"/>
                <w:numId w:val="9"/>
              </w:numPr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Edukalt läbitud arvestus</w:t>
            </w:r>
          </w:p>
          <w:p w:rsidR="00A97773" w:rsidRPr="00581DB5" w:rsidRDefault="00A97773" w:rsidP="00A97773">
            <w:pPr>
              <w:pStyle w:val="Pealkiri3"/>
              <w:numPr>
                <w:ilvl w:val="0"/>
                <w:numId w:val="9"/>
              </w:numPr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/>
                <w:sz w:val="22"/>
                <w:szCs w:val="22"/>
              </w:rPr>
              <w:t>Nõuetekohaselt ja esitatud iseseisvad tööd</w:t>
            </w:r>
          </w:p>
          <w:p w:rsidR="00A97773" w:rsidRPr="00581DB5" w:rsidRDefault="00A97773" w:rsidP="00A97773">
            <w:pPr>
              <w:pStyle w:val="Pealkiri3"/>
              <w:ind w:left="720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tbl>
            <w:tblPr>
              <w:tblStyle w:val="Kontuurtab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103"/>
            </w:tblGrid>
            <w:tr w:rsidR="00983C46" w:rsidRPr="00581DB5" w:rsidTr="001103D8">
              <w:tc>
                <w:tcPr>
                  <w:tcW w:w="3568" w:type="dxa"/>
                </w:tcPr>
                <w:p w:rsidR="00983C46" w:rsidRPr="00581DB5" w:rsidRDefault="00983C46">
                  <w:pPr>
                    <w:pStyle w:val="Pealkiri3"/>
                    <w:outlineLvl w:val="2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581DB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Hindamismeetod</w:t>
                  </w:r>
                </w:p>
              </w:tc>
              <w:tc>
                <w:tcPr>
                  <w:tcW w:w="5103" w:type="dxa"/>
                </w:tcPr>
                <w:p w:rsidR="00983C46" w:rsidRPr="00581DB5" w:rsidRDefault="00983C46">
                  <w:pPr>
                    <w:pStyle w:val="Pealkiri3"/>
                    <w:outlineLvl w:val="2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81DB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Hindamiskritreeriumid</w:t>
                  </w:r>
                  <w:proofErr w:type="spellEnd"/>
                </w:p>
              </w:tc>
            </w:tr>
            <w:tr w:rsidR="00983C46" w:rsidRPr="00581DB5" w:rsidTr="001103D8">
              <w:tc>
                <w:tcPr>
                  <w:tcW w:w="3568" w:type="dxa"/>
                </w:tcPr>
                <w:p w:rsidR="00983C46" w:rsidRPr="00581DB5" w:rsidRDefault="00A97773">
                  <w:pPr>
                    <w:pStyle w:val="Pealkiri3"/>
                    <w:outlineLvl w:val="2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581DB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Arvestus (loosiga tõmmatud praktiline ülesanne)</w:t>
                  </w:r>
                </w:p>
              </w:tc>
              <w:tc>
                <w:tcPr>
                  <w:tcW w:w="5103" w:type="dxa"/>
                </w:tcPr>
                <w:p w:rsidR="00983C46" w:rsidRPr="00581DB5" w:rsidRDefault="00A97773">
                  <w:pPr>
                    <w:pStyle w:val="Pealkiri3"/>
                    <w:outlineLvl w:val="2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581DB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Lähtuvalt ülesandest on võimalik saada 60-80punkti. Arvestus loetakse s</w:t>
                  </w:r>
                  <w:bookmarkStart w:id="0" w:name="_GoBack"/>
                  <w:bookmarkEnd w:id="0"/>
                  <w:r w:rsidRPr="00581DB5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ooritatuks kui osaleja on ülesande täitnud vähemalt 60% ulatuses.</w:t>
                  </w:r>
                </w:p>
              </w:tc>
            </w:tr>
          </w:tbl>
          <w:p w:rsidR="00983C46" w:rsidRPr="00581DB5" w:rsidRDefault="00983C46">
            <w:pPr>
              <w:pStyle w:val="Pealkiri3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97773" w:rsidRPr="00581DB5" w:rsidRDefault="00A97773" w:rsidP="00A97773">
            <w:pPr>
              <w:spacing w:after="0" w:line="235" w:lineRule="exact"/>
            </w:pPr>
            <w:r w:rsidRPr="00581DB5">
              <w:rPr>
                <w:rFonts w:eastAsiaTheme="majorEastAsia" w:cstheme="majorBidi"/>
                <w:color w:val="000000" w:themeColor="text1"/>
              </w:rPr>
              <w:t>Koolituse läbinule väljastatakse Räpina Aianduskooli täienduskoolituse tunnistus või tõend.</w:t>
            </w:r>
          </w:p>
          <w:p w:rsidR="00A97773" w:rsidRPr="00581DB5" w:rsidRDefault="00A97773" w:rsidP="00A97773">
            <w:pPr>
              <w:spacing w:after="0" w:line="235" w:lineRule="exact"/>
            </w:pPr>
            <w:r w:rsidRPr="00581DB5">
              <w:rPr>
                <w:rFonts w:eastAsiaTheme="majorEastAsia" w:cstheme="majorBidi"/>
                <w:color w:val="000000" w:themeColor="text1"/>
              </w:rPr>
              <w:t xml:space="preserve">Tunnistus väljastatakse, kui õpiväljundid on saavutatud. </w:t>
            </w:r>
          </w:p>
          <w:p w:rsidR="00871CA2" w:rsidRPr="00581DB5" w:rsidRDefault="00A97773" w:rsidP="00A97773">
            <w:pPr>
              <w:pStyle w:val="Pealkiri3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581D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Tõend väljastatakse, kui õpiväljundid jäävad saavutamata</w:t>
            </w:r>
          </w:p>
        </w:tc>
      </w:tr>
    </w:tbl>
    <w:p w:rsidR="00871CA2" w:rsidRPr="00581DB5" w:rsidRDefault="00871CA2"/>
    <w:p w:rsidR="00871CA2" w:rsidRPr="00581DB5" w:rsidRDefault="004E3E80">
      <w:pPr>
        <w:pStyle w:val="Pealkiri2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81DB5">
        <w:rPr>
          <w:rFonts w:asciiTheme="minorHAnsi" w:hAnsiTheme="minorHAnsi"/>
          <w:sz w:val="22"/>
          <w:szCs w:val="22"/>
        </w:rPr>
        <w:t>Koolitaja andmed (sh kompetentsus) – nimi, kvalifikatsioon, e-post, telefoni nr.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71CA2" w:rsidRPr="00581DB5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A97773" w:rsidRPr="00581DB5" w:rsidRDefault="00A97773" w:rsidP="00A97773">
            <w:pPr>
              <w:spacing w:after="0"/>
            </w:pPr>
            <w:r w:rsidRPr="00581DB5">
              <w:rPr>
                <w:rFonts w:eastAsiaTheme="majorEastAsia" w:cstheme="majorBidi"/>
              </w:rPr>
              <w:t xml:space="preserve">Anu Seim </w:t>
            </w:r>
            <w:hyperlink r:id="rId9">
              <w:r w:rsidRPr="00581DB5">
                <w:rPr>
                  <w:rStyle w:val="Hperlink"/>
                  <w:rFonts w:eastAsiaTheme="majorEastAsia" w:cstheme="majorBidi"/>
                </w:rPr>
                <w:t>anu.seim@aianduskool.ee</w:t>
              </w:r>
            </w:hyperlink>
          </w:p>
          <w:p w:rsidR="00A97773" w:rsidRPr="00581DB5" w:rsidRDefault="00A97773" w:rsidP="00A97773">
            <w:pPr>
              <w:spacing w:after="0"/>
            </w:pPr>
            <w:r w:rsidRPr="00581DB5">
              <w:rPr>
                <w:rFonts w:eastAsiaTheme="majorEastAsia" w:cstheme="majorBidi"/>
              </w:rPr>
              <w:t>Räpina Aianduskooli õpetaja 2011 aastast</w:t>
            </w:r>
          </w:p>
          <w:p w:rsidR="00A97773" w:rsidRPr="00581DB5" w:rsidRDefault="00A97773" w:rsidP="00A97773">
            <w:pPr>
              <w:spacing w:after="0"/>
            </w:pPr>
            <w:r w:rsidRPr="00581DB5">
              <w:rPr>
                <w:rFonts w:eastAsiaTheme="majorEastAsia" w:cstheme="majorBidi"/>
              </w:rPr>
              <w:t>Tartu Ülikool 1986, majandusteaduskond</w:t>
            </w:r>
          </w:p>
          <w:p w:rsidR="00871CA2" w:rsidRPr="00581DB5" w:rsidRDefault="00871CA2">
            <w:pPr>
              <w:spacing w:after="0"/>
            </w:pPr>
          </w:p>
        </w:tc>
      </w:tr>
    </w:tbl>
    <w:p w:rsidR="00871CA2" w:rsidRPr="00581DB5" w:rsidRDefault="00871CA2"/>
    <w:p w:rsidR="00871CA2" w:rsidRPr="00581DB5" w:rsidRDefault="004E3E80">
      <w:pPr>
        <w:pStyle w:val="Pealkiri2"/>
        <w:rPr>
          <w:rFonts w:asciiTheme="minorHAnsi" w:hAnsiTheme="minorHAnsi"/>
          <w:sz w:val="22"/>
          <w:szCs w:val="22"/>
        </w:rPr>
      </w:pPr>
      <w:r w:rsidRPr="00581DB5">
        <w:rPr>
          <w:rFonts w:asciiTheme="minorHAnsi" w:hAnsiTheme="minorHAnsi"/>
          <w:sz w:val="22"/>
          <w:szCs w:val="22"/>
        </w:rPr>
        <w:t>Õppekava koostaja andmed: nimi, ametinimetus, e-post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71CA2" w:rsidRPr="00581DB5">
        <w:tc>
          <w:tcPr>
            <w:tcW w:w="9493" w:type="dxa"/>
            <w:shd w:val="clear" w:color="auto" w:fill="auto"/>
            <w:tcMar>
              <w:left w:w="108" w:type="dxa"/>
            </w:tcMar>
          </w:tcPr>
          <w:p w:rsidR="001103D8" w:rsidRPr="00581DB5" w:rsidRDefault="001103D8" w:rsidP="001103D8">
            <w:pPr>
              <w:spacing w:after="0"/>
            </w:pPr>
            <w:r w:rsidRPr="00581DB5">
              <w:rPr>
                <w:rFonts w:eastAsiaTheme="majorEastAsia" w:cstheme="majorBidi"/>
              </w:rPr>
              <w:t>Anu Seim</w:t>
            </w:r>
            <w:r w:rsidR="00A97773" w:rsidRPr="00581DB5">
              <w:rPr>
                <w:rFonts w:eastAsiaTheme="majorEastAsia" w:cstheme="majorBidi"/>
              </w:rPr>
              <w:t xml:space="preserve"> - </w:t>
            </w:r>
            <w:r w:rsidRPr="00581DB5">
              <w:rPr>
                <w:rFonts w:eastAsiaTheme="majorEastAsia" w:cstheme="majorBidi"/>
              </w:rPr>
              <w:t xml:space="preserve"> Räpina Aianduskooli õpetaja</w:t>
            </w:r>
            <w:r w:rsidR="00A97773" w:rsidRPr="00581DB5">
              <w:rPr>
                <w:rFonts w:eastAsiaTheme="majorEastAsia" w:cstheme="majorBidi"/>
              </w:rPr>
              <w:t xml:space="preserve">, </w:t>
            </w:r>
            <w:r w:rsidRPr="00581DB5">
              <w:rPr>
                <w:rFonts w:eastAsiaTheme="majorEastAsia" w:cstheme="majorBidi"/>
              </w:rPr>
              <w:t xml:space="preserve"> </w:t>
            </w:r>
            <w:hyperlink r:id="rId10">
              <w:r w:rsidR="00A97773" w:rsidRPr="00581DB5">
                <w:rPr>
                  <w:rStyle w:val="Hperlink"/>
                  <w:rFonts w:eastAsiaTheme="majorEastAsia" w:cstheme="majorBidi"/>
                </w:rPr>
                <w:t>anu.seim@aianduskool.ee</w:t>
              </w:r>
            </w:hyperlink>
          </w:p>
          <w:p w:rsidR="00871CA2" w:rsidRPr="00581DB5" w:rsidRDefault="00A97773" w:rsidP="00A97773">
            <w:pPr>
              <w:spacing w:after="0"/>
            </w:pPr>
            <w:r w:rsidRPr="00581DB5">
              <w:rPr>
                <w:rFonts w:eastAsiaTheme="majorEastAsia" w:cstheme="majorBidi"/>
              </w:rPr>
              <w:t xml:space="preserve">Eda Gross – Räpina Aianduskooli täienduskoolituse metoodik, </w:t>
            </w:r>
            <w:r w:rsidRPr="00581DB5">
              <w:rPr>
                <w:rFonts w:eastAsiaTheme="majorEastAsia" w:cstheme="majorBidi"/>
                <w:color w:val="0070C0"/>
                <w:u w:val="single"/>
              </w:rPr>
              <w:t>eda.gross@aianduskool.ee</w:t>
            </w:r>
          </w:p>
        </w:tc>
      </w:tr>
    </w:tbl>
    <w:p w:rsidR="00871CA2" w:rsidRPr="00581DB5" w:rsidRDefault="00871CA2"/>
    <w:sectPr w:rsidR="00871CA2" w:rsidRPr="00581DB5" w:rsidSect="0037386A">
      <w:footerReference w:type="default" r:id="rId11"/>
      <w:headerReference w:type="first" r:id="rId12"/>
      <w:pgSz w:w="11906" w:h="16838"/>
      <w:pgMar w:top="1418" w:right="1134" w:bottom="1134" w:left="1418" w:header="0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D1" w:rsidRDefault="004E3E80">
      <w:pPr>
        <w:spacing w:before="0" w:after="0"/>
      </w:pPr>
      <w:r>
        <w:separator/>
      </w:r>
    </w:p>
  </w:endnote>
  <w:endnote w:type="continuationSeparator" w:id="0">
    <w:p w:rsidR="00BA0FD1" w:rsidRDefault="004E3E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669006"/>
      <w:docPartObj>
        <w:docPartGallery w:val="Page Numbers (Bottom of Page)"/>
        <w:docPartUnique/>
      </w:docPartObj>
    </w:sdtPr>
    <w:sdtEndPr/>
    <w:sdtContent>
      <w:p w:rsidR="00871CA2" w:rsidRDefault="004E3E80">
        <w:pPr>
          <w:pStyle w:val="Jalus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81DB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D1" w:rsidRDefault="004E3E80">
      <w:pPr>
        <w:spacing w:before="0" w:after="0"/>
      </w:pPr>
      <w:r>
        <w:separator/>
      </w:r>
    </w:p>
  </w:footnote>
  <w:footnote w:type="continuationSeparator" w:id="0">
    <w:p w:rsidR="00BA0FD1" w:rsidRDefault="004E3E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A2" w:rsidRDefault="004E3E80">
    <w:pPr>
      <w:pStyle w:val="Pis"/>
    </w:pPr>
    <w:r>
      <w:rPr>
        <w:noProof/>
        <w:lang w:eastAsia="et-EE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840" cy="921385"/>
          <wp:effectExtent l="0" t="0" r="0" b="0"/>
          <wp:wrapNone/>
          <wp:docPr id="11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810" cy="910590"/>
          <wp:effectExtent l="0" t="0" r="0" b="0"/>
          <wp:wrapNone/>
          <wp:docPr id="12" name="Pil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997"/>
    <w:multiLevelType w:val="multilevel"/>
    <w:tmpl w:val="36B08A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222C"/>
    <w:multiLevelType w:val="hybridMultilevel"/>
    <w:tmpl w:val="7428C1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129F"/>
    <w:multiLevelType w:val="multilevel"/>
    <w:tmpl w:val="0F549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43D2B"/>
    <w:multiLevelType w:val="hybridMultilevel"/>
    <w:tmpl w:val="41C473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C0B09"/>
    <w:multiLevelType w:val="multilevel"/>
    <w:tmpl w:val="255ED4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4F660D7"/>
    <w:multiLevelType w:val="multilevel"/>
    <w:tmpl w:val="A9CA1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463CA7"/>
    <w:multiLevelType w:val="hybridMultilevel"/>
    <w:tmpl w:val="271A8C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6312"/>
    <w:multiLevelType w:val="multilevel"/>
    <w:tmpl w:val="004A8F6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356485"/>
    <w:multiLevelType w:val="multilevel"/>
    <w:tmpl w:val="A9CA1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A2"/>
    <w:rsid w:val="000A3BF7"/>
    <w:rsid w:val="001103D8"/>
    <w:rsid w:val="001F02BC"/>
    <w:rsid w:val="0037386A"/>
    <w:rsid w:val="00390EC0"/>
    <w:rsid w:val="00432FE2"/>
    <w:rsid w:val="00476CDE"/>
    <w:rsid w:val="004E3E80"/>
    <w:rsid w:val="00571F55"/>
    <w:rsid w:val="00581805"/>
    <w:rsid w:val="00581DB5"/>
    <w:rsid w:val="00586005"/>
    <w:rsid w:val="00632873"/>
    <w:rsid w:val="00655022"/>
    <w:rsid w:val="006574EE"/>
    <w:rsid w:val="00817245"/>
    <w:rsid w:val="0085134C"/>
    <w:rsid w:val="00871CA2"/>
    <w:rsid w:val="00983C46"/>
    <w:rsid w:val="009F31FE"/>
    <w:rsid w:val="00A6159A"/>
    <w:rsid w:val="00A97773"/>
    <w:rsid w:val="00B2420C"/>
    <w:rsid w:val="00BA0FD1"/>
    <w:rsid w:val="00BC3A2D"/>
    <w:rsid w:val="00BC5F9F"/>
    <w:rsid w:val="00BD0141"/>
    <w:rsid w:val="00C45034"/>
    <w:rsid w:val="00CE393D"/>
    <w:rsid w:val="00D24FD0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1524A-5613-4867-AE68-0A25915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uppressAutoHyphens/>
      <w:spacing w:before="60" w:after="60" w:line="240" w:lineRule="auto"/>
    </w:pPr>
  </w:style>
  <w:style w:type="paragraph" w:styleId="Pealkiri1">
    <w:name w:val="heading 1"/>
    <w:basedOn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KommentaaritekstMrk">
    <w:name w:val="Kommentaari tekst Märk"/>
    <w:basedOn w:val="Liguvaikefont"/>
    <w:link w:val="Kommentaaritekst"/>
    <w:uiPriority w:val="99"/>
    <w:qFormat/>
    <w:rsid w:val="00910EC2"/>
    <w:rPr>
      <w:rFonts w:ascii="Verdana" w:hAnsi="Verdana"/>
      <w:sz w:val="18"/>
      <w:szCs w:val="20"/>
    </w:rPr>
  </w:style>
  <w:style w:type="character" w:customStyle="1" w:styleId="PisMrk">
    <w:name w:val="Päis Märk"/>
    <w:basedOn w:val="Liguvaikefont"/>
    <w:link w:val="Pis"/>
    <w:uiPriority w:val="99"/>
    <w:qFormat/>
    <w:rsid w:val="00720F7D"/>
  </w:style>
  <w:style w:type="character" w:customStyle="1" w:styleId="JalusMrk">
    <w:name w:val="Jalus Märk"/>
    <w:basedOn w:val="Liguvaikefont"/>
    <w:link w:val="Jalus"/>
    <w:uiPriority w:val="99"/>
    <w:qFormat/>
    <w:rsid w:val="00720F7D"/>
  </w:style>
  <w:style w:type="character" w:customStyle="1" w:styleId="Pealkiri1Mrk">
    <w:name w:val="Pealkiri 1 Märk"/>
    <w:basedOn w:val="Liguvaikefont"/>
    <w:link w:val="Pealkiri1"/>
    <w:uiPriority w:val="9"/>
    <w:qFormat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qFormat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qFormat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ilink">
    <w:name w:val="Internetilink"/>
    <w:basedOn w:val="Liguvaikefont"/>
    <w:uiPriority w:val="99"/>
    <w:unhideWhenUsed/>
    <w:rsid w:val="00CA303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</w:rPr>
  </w:style>
  <w:style w:type="paragraph" w:styleId="Pealkiri">
    <w:name w:val="Title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allaad"/>
    <w:pPr>
      <w:spacing w:before="0" w:after="140" w:line="288" w:lineRule="auto"/>
    </w:pPr>
  </w:style>
  <w:style w:type="paragraph" w:styleId="Loend">
    <w:name w:val="List"/>
    <w:basedOn w:val="Phitekst"/>
    <w:rPr>
      <w:rFonts w:cs="Ari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qFormat/>
    <w:rsid w:val="003109F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Normaallaadveeb">
    <w:name w:val="Normal (Web)"/>
    <w:basedOn w:val="Normaallaad"/>
    <w:qFormat/>
    <w:rsid w:val="00C52580"/>
    <w:pPr>
      <w:keepNext/>
      <w:spacing w:before="280" w:after="28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elisisu">
    <w:name w:val="Tabeli sisu"/>
    <w:basedOn w:val="Normaallaad"/>
    <w:qFormat/>
    <w:rsid w:val="00CF3E89"/>
    <w:pPr>
      <w:keepNext/>
      <w:suppressLineNumbers/>
      <w:spacing w:before="0" w:after="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Vahedeta">
    <w:name w:val="No Spacing"/>
    <w:uiPriority w:val="1"/>
    <w:qFormat/>
    <w:rsid w:val="00326EB6"/>
    <w:pPr>
      <w:suppressAutoHyphens/>
      <w:spacing w:line="240" w:lineRule="auto"/>
    </w:pPr>
  </w:style>
  <w:style w:type="table" w:styleId="Kontuurtabel">
    <w:name w:val="Table Grid"/>
    <w:basedOn w:val="Normaaltabel"/>
    <w:uiPriority w:val="39"/>
    <w:rsid w:val="00B152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10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e.ee/UserFiles/Kutseharidus/&#213;ppekava/Kaubandus%20p&#245;him&#245;isted%20ja%20seos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u.seim@aianduskool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u.seim@aianduskool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FE53-0E25-44A6-9C24-388913DA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3</Pages>
  <Words>973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Eda Gross</cp:lastModifiedBy>
  <cp:revision>38</cp:revision>
  <dcterms:created xsi:type="dcterms:W3CDTF">2016-05-10T08:28:00Z</dcterms:created>
  <dcterms:modified xsi:type="dcterms:W3CDTF">2016-09-30T08:36:00Z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